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FC" w:rsidRPr="00F76CCD" w:rsidRDefault="001253FC" w:rsidP="001253FC">
      <w:pPr>
        <w:spacing w:after="0"/>
        <w:jc w:val="both"/>
        <w:rPr>
          <w:rFonts w:ascii="Arial" w:eastAsia="Times New Roman" w:hAnsi="Arial" w:cs="Arial"/>
          <w:bCs/>
          <w:color w:val="000000"/>
          <w:lang w:eastAsia="ru-RU"/>
        </w:rPr>
      </w:pPr>
      <w:r w:rsidRPr="00F76CCD">
        <w:rPr>
          <w:rFonts w:ascii="Arial" w:eastAsia="Times New Roman" w:hAnsi="Arial" w:cs="Arial"/>
          <w:bCs/>
          <w:color w:val="000000"/>
          <w:lang w:eastAsia="ru-RU"/>
        </w:rPr>
        <w:tab/>
        <w:t xml:space="preserve">Второй этап конкурса на замещение вакантных должностей государственной гражданской службы </w:t>
      </w:r>
      <w:r w:rsidRPr="00F76CCD">
        <w:rPr>
          <w:rFonts w:ascii="Arial" w:hAnsi="Arial" w:cs="Arial"/>
        </w:rPr>
        <w:t xml:space="preserve">заместителя начальника отдела имущества, информатизации и отчетности, главного специалиста-эксперта отдела регулирования водопользования, главного специалиста-эксперта отдела водных ресурсов по Костромской и Ярославской областям, ведущего специалиста-эксперта отдела водных ресурсов по Костромской и Ярославской областям, ведущего специалиста-эксперта отдела водных ресурсов по Нижегородской области, ведущего специалиста-эксперта отдела имущества, информатизации и отчетности, ведущего специалиста-эксперта отдела кадровой работы, правового и документационного обеспечения </w:t>
      </w:r>
      <w:proofErr w:type="spellStart"/>
      <w:r w:rsidRPr="00F76CCD">
        <w:rPr>
          <w:rFonts w:ascii="Arial" w:hAnsi="Arial" w:cs="Arial"/>
        </w:rPr>
        <w:t>Верхне-Волжского</w:t>
      </w:r>
      <w:proofErr w:type="spellEnd"/>
      <w:r w:rsidRPr="00F76CCD">
        <w:rPr>
          <w:rFonts w:ascii="Arial" w:hAnsi="Arial" w:cs="Arial"/>
        </w:rPr>
        <w:t xml:space="preserve"> БВУ  </w:t>
      </w:r>
      <w:r w:rsidRPr="00F76CCD">
        <w:rPr>
          <w:rFonts w:ascii="Arial" w:eastAsia="Times New Roman" w:hAnsi="Arial" w:cs="Arial"/>
          <w:bCs/>
          <w:color w:val="000000"/>
          <w:lang w:eastAsia="ru-RU"/>
        </w:rPr>
        <w:t>состоится 16.12.2021 в 10-00 ч. по Московскому времени по адресу г. Нижний Новгород, ул. Рождественская, д. 38.</w:t>
      </w:r>
    </w:p>
    <w:p w:rsidR="001253FC" w:rsidRPr="00F76CCD" w:rsidRDefault="001253FC" w:rsidP="001253FC">
      <w:pPr>
        <w:spacing w:after="0"/>
        <w:jc w:val="both"/>
        <w:rPr>
          <w:rFonts w:ascii="Arial" w:eastAsia="Times New Roman" w:hAnsi="Arial" w:cs="Arial"/>
          <w:bCs/>
          <w:color w:val="000000"/>
          <w:lang w:eastAsia="ru-RU"/>
        </w:rPr>
      </w:pPr>
      <w:r w:rsidRPr="00F76CCD">
        <w:rPr>
          <w:rFonts w:ascii="Arial" w:eastAsia="Times New Roman" w:hAnsi="Arial" w:cs="Arial"/>
          <w:bCs/>
          <w:color w:val="000000"/>
          <w:lang w:eastAsia="ru-RU"/>
        </w:rPr>
        <w:tab/>
        <w:t>Второй этап конкурса будет проходить в 2 этапа:</w:t>
      </w:r>
    </w:p>
    <w:p w:rsidR="001253FC" w:rsidRPr="00F76CCD" w:rsidRDefault="001253FC" w:rsidP="001253FC">
      <w:pPr>
        <w:spacing w:after="0"/>
        <w:jc w:val="both"/>
        <w:rPr>
          <w:rFonts w:ascii="Arial" w:eastAsia="Times New Roman" w:hAnsi="Arial" w:cs="Arial"/>
          <w:bCs/>
          <w:color w:val="000000"/>
          <w:lang w:eastAsia="ru-RU"/>
        </w:rPr>
      </w:pPr>
      <w:r w:rsidRPr="00F76CCD">
        <w:rPr>
          <w:rFonts w:ascii="Arial" w:eastAsia="Times New Roman" w:hAnsi="Arial" w:cs="Arial"/>
          <w:bCs/>
          <w:color w:val="000000"/>
          <w:lang w:eastAsia="ru-RU"/>
        </w:rPr>
        <w:tab/>
        <w:t>- тестирование;</w:t>
      </w:r>
    </w:p>
    <w:p w:rsidR="001253FC" w:rsidRPr="00F76CCD" w:rsidRDefault="001253FC" w:rsidP="001253FC">
      <w:pPr>
        <w:spacing w:after="0"/>
        <w:jc w:val="both"/>
        <w:rPr>
          <w:rFonts w:ascii="Arial" w:eastAsia="Times New Roman" w:hAnsi="Arial" w:cs="Arial"/>
          <w:bCs/>
          <w:color w:val="000000"/>
          <w:lang w:eastAsia="ru-RU"/>
        </w:rPr>
      </w:pPr>
      <w:r w:rsidRPr="00F76CCD">
        <w:rPr>
          <w:rFonts w:ascii="Arial" w:eastAsia="Times New Roman" w:hAnsi="Arial" w:cs="Arial"/>
          <w:bCs/>
          <w:color w:val="000000"/>
          <w:lang w:eastAsia="ru-RU"/>
        </w:rPr>
        <w:tab/>
        <w:t>- личное собеседование.</w:t>
      </w:r>
    </w:p>
    <w:p w:rsidR="00A16E51" w:rsidRPr="00F76CCD" w:rsidRDefault="001253FC" w:rsidP="001253FC">
      <w:pPr>
        <w:jc w:val="both"/>
        <w:rPr>
          <w:rFonts w:ascii="Arial" w:hAnsi="Arial" w:cs="Arial"/>
        </w:rPr>
      </w:pPr>
      <w:r w:rsidRPr="00F76CCD">
        <w:rPr>
          <w:rFonts w:ascii="Arial" w:hAnsi="Arial" w:cs="Arial"/>
        </w:rPr>
        <w:tab/>
        <w:t>В целях повышения доступности информации о применяемых в ходе конкурса методов оценки, вне рамок конкурса, можно пройти предварительный квалификационный тест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1253FC" w:rsidRPr="00F76CCD" w:rsidRDefault="001253FC" w:rsidP="001253FC">
      <w:pPr>
        <w:rPr>
          <w:rFonts w:ascii="Arial" w:eastAsia="Times New Roman" w:hAnsi="Arial" w:cs="Arial"/>
          <w:b/>
          <w:bCs/>
          <w:color w:val="000000"/>
          <w:u w:val="single"/>
          <w:lang w:eastAsia="ru-RU"/>
        </w:rPr>
      </w:pPr>
      <w:r w:rsidRPr="00F76CCD">
        <w:rPr>
          <w:rFonts w:ascii="Arial" w:eastAsia="Times New Roman" w:hAnsi="Arial" w:cs="Arial"/>
          <w:b/>
          <w:bCs/>
          <w:color w:val="000000"/>
          <w:u w:val="single"/>
          <w:lang w:eastAsia="ru-RU"/>
        </w:rPr>
        <w:t>Допущены  до 2 этапа  конкурса</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60"/>
      </w:tblGrid>
      <w:tr w:rsidR="001253FC" w:rsidRPr="00F76CCD" w:rsidTr="00F76CCD">
        <w:tc>
          <w:tcPr>
            <w:tcW w:w="567" w:type="dxa"/>
          </w:tcPr>
          <w:p w:rsidR="001253FC" w:rsidRPr="00F76CCD" w:rsidRDefault="001253FC" w:rsidP="001253FC">
            <w:pPr>
              <w:jc w:val="both"/>
              <w:rPr>
                <w:rFonts w:ascii="Arial" w:eastAsia="Times New Roman" w:hAnsi="Arial" w:cs="Arial"/>
                <w:color w:val="000000"/>
                <w:lang w:eastAsia="ru-RU"/>
              </w:rPr>
            </w:pPr>
            <w:r w:rsidRPr="00F76CCD">
              <w:rPr>
                <w:rFonts w:ascii="Arial" w:eastAsia="Times New Roman" w:hAnsi="Arial" w:cs="Arial"/>
                <w:color w:val="000000"/>
                <w:lang w:eastAsia="ru-RU"/>
              </w:rPr>
              <w:t>1</w:t>
            </w:r>
          </w:p>
        </w:tc>
        <w:tc>
          <w:tcPr>
            <w:tcW w:w="3260" w:type="dxa"/>
          </w:tcPr>
          <w:p w:rsidR="001253FC" w:rsidRPr="00F76CCD" w:rsidRDefault="001253FC" w:rsidP="001253FC">
            <w:pPr>
              <w:jc w:val="left"/>
              <w:rPr>
                <w:rFonts w:ascii="Arial" w:eastAsia="Times New Roman" w:hAnsi="Arial" w:cs="Arial"/>
                <w:color w:val="000000"/>
                <w:lang w:eastAsia="ru-RU"/>
              </w:rPr>
            </w:pPr>
            <w:r w:rsidRPr="00F76CCD">
              <w:rPr>
                <w:rFonts w:ascii="Arial" w:eastAsia="Times New Roman" w:hAnsi="Arial" w:cs="Arial"/>
                <w:color w:val="000000"/>
                <w:lang w:eastAsia="ru-RU"/>
              </w:rPr>
              <w:t>Павлова А.Н.</w:t>
            </w:r>
          </w:p>
        </w:tc>
      </w:tr>
      <w:tr w:rsidR="001253FC" w:rsidRPr="00F76CCD" w:rsidTr="00F76CCD">
        <w:tc>
          <w:tcPr>
            <w:tcW w:w="567" w:type="dxa"/>
          </w:tcPr>
          <w:p w:rsidR="001253FC" w:rsidRPr="00F76CCD" w:rsidRDefault="001253FC" w:rsidP="001253FC">
            <w:pPr>
              <w:jc w:val="left"/>
              <w:rPr>
                <w:rFonts w:ascii="Arial" w:eastAsia="Times New Roman" w:hAnsi="Arial" w:cs="Arial"/>
                <w:color w:val="000000"/>
                <w:lang w:eastAsia="ru-RU"/>
              </w:rPr>
            </w:pPr>
            <w:r w:rsidRPr="00F76CCD">
              <w:rPr>
                <w:rFonts w:ascii="Arial" w:eastAsia="Times New Roman" w:hAnsi="Arial" w:cs="Arial"/>
                <w:color w:val="000000"/>
                <w:lang w:eastAsia="ru-RU"/>
              </w:rPr>
              <w:t>2</w:t>
            </w:r>
          </w:p>
        </w:tc>
        <w:tc>
          <w:tcPr>
            <w:tcW w:w="3260" w:type="dxa"/>
          </w:tcPr>
          <w:p w:rsidR="001253FC" w:rsidRPr="00F76CCD" w:rsidRDefault="001253FC" w:rsidP="001253FC">
            <w:pPr>
              <w:jc w:val="left"/>
              <w:rPr>
                <w:rFonts w:ascii="Arial" w:eastAsia="Times New Roman" w:hAnsi="Arial" w:cs="Arial"/>
                <w:b/>
                <w:bCs/>
                <w:color w:val="000000"/>
                <w:u w:val="single"/>
                <w:lang w:eastAsia="ru-RU"/>
              </w:rPr>
            </w:pPr>
            <w:r w:rsidRPr="00F76CCD">
              <w:rPr>
                <w:rFonts w:ascii="Arial" w:eastAsia="Times New Roman" w:hAnsi="Arial" w:cs="Arial"/>
                <w:color w:val="000000"/>
                <w:lang w:eastAsia="ru-RU"/>
              </w:rPr>
              <w:t>Савинова А.В.</w:t>
            </w:r>
          </w:p>
        </w:tc>
      </w:tr>
      <w:tr w:rsidR="001253FC" w:rsidRPr="00F76CCD" w:rsidTr="00F76CCD">
        <w:tc>
          <w:tcPr>
            <w:tcW w:w="567" w:type="dxa"/>
          </w:tcPr>
          <w:p w:rsidR="001253FC" w:rsidRPr="00F76CCD" w:rsidRDefault="001253FC" w:rsidP="001253FC">
            <w:pPr>
              <w:jc w:val="left"/>
              <w:rPr>
                <w:rFonts w:ascii="Arial" w:eastAsia="Times New Roman" w:hAnsi="Arial" w:cs="Arial"/>
                <w:color w:val="000000"/>
                <w:lang w:eastAsia="ru-RU"/>
              </w:rPr>
            </w:pPr>
            <w:r w:rsidRPr="00F76CCD">
              <w:rPr>
                <w:rFonts w:ascii="Arial" w:eastAsia="Times New Roman" w:hAnsi="Arial" w:cs="Arial"/>
                <w:color w:val="000000"/>
                <w:lang w:eastAsia="ru-RU"/>
              </w:rPr>
              <w:t>3</w:t>
            </w:r>
          </w:p>
        </w:tc>
        <w:tc>
          <w:tcPr>
            <w:tcW w:w="3260" w:type="dxa"/>
          </w:tcPr>
          <w:p w:rsidR="001253FC" w:rsidRPr="00F76CCD" w:rsidRDefault="001253FC" w:rsidP="001253FC">
            <w:pPr>
              <w:jc w:val="left"/>
              <w:rPr>
                <w:rFonts w:ascii="Arial" w:eastAsia="Times New Roman" w:hAnsi="Arial" w:cs="Arial"/>
                <w:color w:val="000000"/>
                <w:lang w:eastAsia="ru-RU"/>
              </w:rPr>
            </w:pPr>
            <w:proofErr w:type="spellStart"/>
            <w:r w:rsidRPr="00F76CCD">
              <w:rPr>
                <w:rFonts w:ascii="Arial" w:eastAsia="Times New Roman" w:hAnsi="Arial" w:cs="Arial"/>
                <w:color w:val="000000"/>
                <w:lang w:eastAsia="ru-RU"/>
              </w:rPr>
              <w:t>Беззаметнова</w:t>
            </w:r>
            <w:proofErr w:type="spellEnd"/>
            <w:r w:rsidRPr="00F76CCD">
              <w:rPr>
                <w:rFonts w:ascii="Arial" w:eastAsia="Times New Roman" w:hAnsi="Arial" w:cs="Arial"/>
                <w:color w:val="000000"/>
                <w:lang w:eastAsia="ru-RU"/>
              </w:rPr>
              <w:t xml:space="preserve"> М.М.</w:t>
            </w:r>
          </w:p>
        </w:tc>
      </w:tr>
      <w:tr w:rsidR="001253FC" w:rsidRPr="00F76CCD" w:rsidTr="00F76CCD">
        <w:tc>
          <w:tcPr>
            <w:tcW w:w="567" w:type="dxa"/>
          </w:tcPr>
          <w:p w:rsidR="001253FC" w:rsidRPr="00F76CCD" w:rsidRDefault="001253FC" w:rsidP="001253FC">
            <w:pPr>
              <w:jc w:val="left"/>
              <w:rPr>
                <w:rFonts w:ascii="Arial" w:eastAsia="Times New Roman" w:hAnsi="Arial" w:cs="Arial"/>
                <w:color w:val="000000"/>
                <w:lang w:eastAsia="ru-RU"/>
              </w:rPr>
            </w:pPr>
            <w:r w:rsidRPr="00F76CCD">
              <w:rPr>
                <w:rFonts w:ascii="Arial" w:eastAsia="Times New Roman" w:hAnsi="Arial" w:cs="Arial"/>
                <w:color w:val="000000"/>
                <w:lang w:eastAsia="ru-RU"/>
              </w:rPr>
              <w:t>4</w:t>
            </w:r>
          </w:p>
        </w:tc>
        <w:tc>
          <w:tcPr>
            <w:tcW w:w="3260" w:type="dxa"/>
          </w:tcPr>
          <w:p w:rsidR="001253FC" w:rsidRPr="00F76CCD" w:rsidRDefault="001253FC" w:rsidP="001253FC">
            <w:pPr>
              <w:jc w:val="left"/>
              <w:rPr>
                <w:rFonts w:ascii="Arial" w:eastAsia="Times New Roman" w:hAnsi="Arial" w:cs="Arial"/>
                <w:color w:val="000000"/>
                <w:lang w:eastAsia="ru-RU"/>
              </w:rPr>
            </w:pPr>
            <w:r w:rsidRPr="00F76CCD">
              <w:rPr>
                <w:rFonts w:ascii="Arial" w:eastAsia="Times New Roman" w:hAnsi="Arial" w:cs="Arial"/>
                <w:color w:val="000000"/>
                <w:lang w:eastAsia="ru-RU"/>
              </w:rPr>
              <w:t>Викулова Ю.А.</w:t>
            </w:r>
          </w:p>
        </w:tc>
      </w:tr>
      <w:tr w:rsidR="001253FC" w:rsidRPr="00F76CCD" w:rsidTr="00F76CCD">
        <w:tc>
          <w:tcPr>
            <w:tcW w:w="567" w:type="dxa"/>
          </w:tcPr>
          <w:p w:rsidR="001253FC" w:rsidRPr="00F76CCD" w:rsidRDefault="001253FC" w:rsidP="001253FC">
            <w:pPr>
              <w:jc w:val="left"/>
              <w:rPr>
                <w:rFonts w:ascii="Arial" w:eastAsia="Times New Roman" w:hAnsi="Arial" w:cs="Arial"/>
                <w:color w:val="000000"/>
                <w:lang w:eastAsia="ru-RU"/>
              </w:rPr>
            </w:pPr>
            <w:r w:rsidRPr="00F76CCD">
              <w:rPr>
                <w:rFonts w:ascii="Arial" w:eastAsia="Times New Roman" w:hAnsi="Arial" w:cs="Arial"/>
                <w:color w:val="000000"/>
                <w:lang w:eastAsia="ru-RU"/>
              </w:rPr>
              <w:t>5</w:t>
            </w:r>
          </w:p>
        </w:tc>
        <w:tc>
          <w:tcPr>
            <w:tcW w:w="3260" w:type="dxa"/>
          </w:tcPr>
          <w:p w:rsidR="001253FC" w:rsidRPr="00F76CCD" w:rsidRDefault="001253FC" w:rsidP="001253FC">
            <w:pPr>
              <w:jc w:val="left"/>
              <w:rPr>
                <w:rFonts w:ascii="Arial" w:eastAsia="Times New Roman" w:hAnsi="Arial" w:cs="Arial"/>
                <w:color w:val="000000"/>
                <w:lang w:eastAsia="ru-RU"/>
              </w:rPr>
            </w:pPr>
            <w:r w:rsidRPr="00F76CCD">
              <w:rPr>
                <w:rFonts w:ascii="Arial" w:eastAsia="Times New Roman" w:hAnsi="Arial" w:cs="Arial"/>
                <w:color w:val="000000"/>
                <w:lang w:eastAsia="ru-RU"/>
              </w:rPr>
              <w:t>Орлеанская М.И.</w:t>
            </w:r>
          </w:p>
        </w:tc>
      </w:tr>
      <w:tr w:rsidR="001253FC" w:rsidRPr="00F76CCD" w:rsidTr="00F76CCD">
        <w:tc>
          <w:tcPr>
            <w:tcW w:w="567" w:type="dxa"/>
          </w:tcPr>
          <w:p w:rsidR="001253FC" w:rsidRPr="00F76CCD" w:rsidRDefault="001253FC" w:rsidP="001253FC">
            <w:pPr>
              <w:jc w:val="left"/>
              <w:rPr>
                <w:rFonts w:ascii="Arial" w:eastAsia="Times New Roman" w:hAnsi="Arial" w:cs="Arial"/>
                <w:color w:val="000000"/>
                <w:lang w:eastAsia="ru-RU"/>
              </w:rPr>
            </w:pPr>
            <w:r w:rsidRPr="00F76CCD">
              <w:rPr>
                <w:rFonts w:ascii="Arial" w:eastAsia="Times New Roman" w:hAnsi="Arial" w:cs="Arial"/>
                <w:color w:val="000000"/>
                <w:lang w:eastAsia="ru-RU"/>
              </w:rPr>
              <w:t>6</w:t>
            </w:r>
          </w:p>
        </w:tc>
        <w:tc>
          <w:tcPr>
            <w:tcW w:w="3260" w:type="dxa"/>
          </w:tcPr>
          <w:p w:rsidR="001253FC" w:rsidRPr="00F76CCD" w:rsidRDefault="001253FC" w:rsidP="001253FC">
            <w:pPr>
              <w:jc w:val="left"/>
              <w:rPr>
                <w:rFonts w:ascii="Arial" w:eastAsia="Times New Roman" w:hAnsi="Arial" w:cs="Arial"/>
                <w:color w:val="000000"/>
                <w:lang w:eastAsia="ru-RU"/>
              </w:rPr>
            </w:pPr>
            <w:r w:rsidRPr="00F76CCD">
              <w:rPr>
                <w:rFonts w:ascii="Arial" w:eastAsia="Times New Roman" w:hAnsi="Arial" w:cs="Arial"/>
                <w:color w:val="000000"/>
                <w:lang w:eastAsia="ru-RU"/>
              </w:rPr>
              <w:t>Красная С.М.</w:t>
            </w:r>
          </w:p>
        </w:tc>
      </w:tr>
      <w:tr w:rsidR="001253FC" w:rsidRPr="00F76CCD" w:rsidTr="00F76CCD">
        <w:tc>
          <w:tcPr>
            <w:tcW w:w="567" w:type="dxa"/>
          </w:tcPr>
          <w:p w:rsidR="001253FC" w:rsidRPr="00F76CCD" w:rsidRDefault="001253FC" w:rsidP="001253FC">
            <w:pPr>
              <w:jc w:val="left"/>
              <w:rPr>
                <w:rFonts w:ascii="Arial" w:eastAsia="Times New Roman" w:hAnsi="Arial" w:cs="Arial"/>
                <w:color w:val="000000"/>
                <w:lang w:eastAsia="ru-RU"/>
              </w:rPr>
            </w:pPr>
            <w:r w:rsidRPr="00F76CCD">
              <w:rPr>
                <w:rFonts w:ascii="Arial" w:eastAsia="Times New Roman" w:hAnsi="Arial" w:cs="Arial"/>
                <w:color w:val="000000"/>
                <w:lang w:eastAsia="ru-RU"/>
              </w:rPr>
              <w:t>7</w:t>
            </w:r>
          </w:p>
        </w:tc>
        <w:tc>
          <w:tcPr>
            <w:tcW w:w="3260" w:type="dxa"/>
          </w:tcPr>
          <w:p w:rsidR="001253FC" w:rsidRPr="00F76CCD" w:rsidRDefault="001253FC" w:rsidP="001253FC">
            <w:pPr>
              <w:jc w:val="left"/>
              <w:rPr>
                <w:rFonts w:ascii="Arial" w:eastAsia="Times New Roman" w:hAnsi="Arial" w:cs="Arial"/>
                <w:color w:val="000000"/>
                <w:lang w:eastAsia="ru-RU"/>
              </w:rPr>
            </w:pPr>
            <w:proofErr w:type="spellStart"/>
            <w:r w:rsidRPr="00F76CCD">
              <w:rPr>
                <w:rFonts w:ascii="Arial" w:eastAsia="Times New Roman" w:hAnsi="Arial" w:cs="Arial"/>
                <w:color w:val="000000"/>
                <w:lang w:eastAsia="ru-RU"/>
              </w:rPr>
              <w:t>Пантюхина</w:t>
            </w:r>
            <w:proofErr w:type="spellEnd"/>
            <w:r w:rsidRPr="00F76CCD">
              <w:rPr>
                <w:rFonts w:ascii="Arial" w:eastAsia="Times New Roman" w:hAnsi="Arial" w:cs="Arial"/>
                <w:color w:val="000000"/>
                <w:lang w:eastAsia="ru-RU"/>
              </w:rPr>
              <w:t xml:space="preserve"> О.С.</w:t>
            </w:r>
          </w:p>
        </w:tc>
      </w:tr>
    </w:tbl>
    <w:p w:rsidR="001253FC" w:rsidRDefault="001253FC" w:rsidP="001253FC">
      <w:pPr>
        <w:jc w:val="left"/>
        <w:rPr>
          <w:rFonts w:ascii="Calibri" w:eastAsia="Times New Roman" w:hAnsi="Calibri" w:cs="Calibri"/>
          <w:color w:val="000000"/>
          <w:sz w:val="28"/>
          <w:szCs w:val="28"/>
          <w:lang w:eastAsia="ru-RU"/>
        </w:rPr>
      </w:pPr>
    </w:p>
    <w:p w:rsidR="00190593" w:rsidRPr="00190593" w:rsidRDefault="001253FC" w:rsidP="00190593">
      <w:pPr>
        <w:spacing w:after="0"/>
        <w:jc w:val="both"/>
        <w:rPr>
          <w:rFonts w:ascii="Arial" w:eastAsia="Times New Roman" w:hAnsi="Arial" w:cs="Arial"/>
          <w:color w:val="000000"/>
          <w:lang w:eastAsia="ru-RU"/>
        </w:rPr>
      </w:pPr>
      <w:r>
        <w:rPr>
          <w:rFonts w:ascii="Calibri" w:eastAsia="Times New Roman" w:hAnsi="Calibri" w:cs="Calibri"/>
          <w:color w:val="000000"/>
          <w:sz w:val="28"/>
          <w:szCs w:val="28"/>
          <w:lang w:eastAsia="ru-RU"/>
        </w:rPr>
        <w:t xml:space="preserve">    </w:t>
      </w:r>
      <w:r w:rsidR="00190593" w:rsidRPr="00190593">
        <w:rPr>
          <w:rFonts w:ascii="Arial" w:eastAsia="Times New Roman" w:hAnsi="Arial" w:cs="Arial"/>
          <w:color w:val="000000"/>
          <w:lang w:eastAsia="ru-RU"/>
        </w:rPr>
        <w:t xml:space="preserve">Конкурс на замещение вакантных должностей </w:t>
      </w:r>
      <w:r w:rsidR="00190593" w:rsidRPr="00190593">
        <w:rPr>
          <w:rFonts w:ascii="Arial" w:hAnsi="Arial" w:cs="Arial"/>
        </w:rPr>
        <w:t xml:space="preserve"> главного специалиста-эксперта отдела регулирования водопользования,  ведущего специалиста-эксперта отдела водных ресурсов по Нижегородской области, ведущего специалиста-эксперта отдела имущества, информатизации и отчетности, ведущего специалиста-эксперта отдела кадровой работы, правового и документационного обе</w:t>
      </w:r>
      <w:r w:rsidR="00190593">
        <w:rPr>
          <w:rFonts w:ascii="Arial" w:hAnsi="Arial" w:cs="Arial"/>
        </w:rPr>
        <w:t xml:space="preserve">спечения </w:t>
      </w:r>
      <w:proofErr w:type="spellStart"/>
      <w:r w:rsidR="00190593">
        <w:rPr>
          <w:rFonts w:ascii="Arial" w:hAnsi="Arial" w:cs="Arial"/>
        </w:rPr>
        <w:t>Верхне-Волжского</w:t>
      </w:r>
      <w:proofErr w:type="spellEnd"/>
      <w:r w:rsidR="00190593">
        <w:rPr>
          <w:rFonts w:ascii="Arial" w:hAnsi="Arial" w:cs="Arial"/>
        </w:rPr>
        <w:t xml:space="preserve"> БВУ </w:t>
      </w:r>
      <w:r w:rsidR="00190593" w:rsidRPr="00190593">
        <w:rPr>
          <w:rFonts w:ascii="Arial" w:hAnsi="Arial" w:cs="Arial"/>
        </w:rPr>
        <w:t>признан несостоявшимся в виду отсутствия кандидатов, согласно п. 20 Положения о конкурсе на замещение вакантной должности государственной гражданской службы Российской Федерации, утвержденного Указом Президента от 01.02.2005 № 112.</w:t>
      </w:r>
    </w:p>
    <w:p w:rsidR="001253FC" w:rsidRPr="00190593" w:rsidRDefault="001253FC" w:rsidP="001253FC">
      <w:pPr>
        <w:spacing w:after="0"/>
        <w:jc w:val="both"/>
        <w:rPr>
          <w:rFonts w:ascii="Arial" w:eastAsia="Times New Roman" w:hAnsi="Arial" w:cs="Arial"/>
          <w:color w:val="000000"/>
          <w:sz w:val="28"/>
          <w:szCs w:val="28"/>
          <w:lang w:eastAsia="ru-RU"/>
        </w:rPr>
      </w:pPr>
    </w:p>
    <w:p w:rsidR="001253FC" w:rsidRDefault="001253FC" w:rsidP="001253FC">
      <w:pPr>
        <w:spacing w:after="0"/>
        <w:jc w:val="both"/>
        <w:rPr>
          <w:rFonts w:ascii="Calibri" w:eastAsia="Times New Roman" w:hAnsi="Calibri" w:cs="Calibri"/>
          <w:color w:val="000000"/>
          <w:sz w:val="28"/>
          <w:szCs w:val="28"/>
          <w:lang w:eastAsia="ru-RU"/>
        </w:rPr>
      </w:pPr>
      <w:r>
        <w:rPr>
          <w:rFonts w:ascii="Calibri" w:eastAsia="Times New Roman" w:hAnsi="Calibri" w:cs="Calibri"/>
          <w:color w:val="000000"/>
          <w:sz w:val="28"/>
          <w:szCs w:val="28"/>
          <w:lang w:eastAsia="ru-RU"/>
        </w:rPr>
        <w:t xml:space="preserve">      </w:t>
      </w:r>
    </w:p>
    <w:p w:rsidR="001253FC" w:rsidRDefault="001253FC" w:rsidP="001253FC"/>
    <w:sectPr w:rsidR="001253FC" w:rsidSect="00A16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253FC"/>
    <w:rsid w:val="001253FC"/>
    <w:rsid w:val="00190593"/>
    <w:rsid w:val="002B2CAF"/>
    <w:rsid w:val="00544C0F"/>
    <w:rsid w:val="0063339B"/>
    <w:rsid w:val="008E1F6A"/>
    <w:rsid w:val="00965BFE"/>
    <w:rsid w:val="00A16E51"/>
    <w:rsid w:val="00B0083B"/>
    <w:rsid w:val="00C01057"/>
    <w:rsid w:val="00F45FF9"/>
    <w:rsid w:val="00F76CCD"/>
    <w:rsid w:val="00FB5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FC"/>
    <w:pPr>
      <w:spacing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50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Корнишина</dc:creator>
  <cp:lastModifiedBy>Корнишина</cp:lastModifiedBy>
  <cp:revision>4</cp:revision>
  <dcterms:created xsi:type="dcterms:W3CDTF">2021-11-30T10:09:00Z</dcterms:created>
  <dcterms:modified xsi:type="dcterms:W3CDTF">2021-11-30T13:40:00Z</dcterms:modified>
</cp:coreProperties>
</file>